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SENZA VEDERTI CREDO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ddn5kryfmzq9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L’unico Dio nel Cielo,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 mondo è il solo Signore.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Senza vederti, io credo,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accresci la mia fede, Signore.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Fra tutte le case dell’uomo,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chiesa è la casa di Dio.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bello venire in chiesa per pregare,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cantare al Signore.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tabernacolo è centro e cuore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della chiesa.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Figlio di Dio, Gesù Cristo,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lì vive nascosto nel Pane.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vedere la lampada accesa,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penso: “Lì c’è il mio Gesù”.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grande devozione mi inginocchio: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“Ti adoro, ti amo Gesù”.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nome del Padre, del Figlio,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dello Spirito Santo. Amen.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QFi1aL8Gw3KFe0EQmAjsJCWzSg==">CgMxLjAyDmguZGRuNWtyeWZtenE5OAByITE3ajZ1eG9fb21zMUlRYlotNkItRElzbkZxaEo2dTl3aw==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